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CA" w:rsidRDefault="00136B34" w:rsidP="008A3CB0">
      <w:pPr>
        <w:spacing w:after="0"/>
        <w:rPr>
          <w:b/>
          <w:sz w:val="28"/>
        </w:rPr>
      </w:pPr>
      <w:r>
        <w:rPr>
          <w:rFonts w:ascii="Lucida Calligraphy" w:hAnsi="Lucida Calligraphy"/>
          <w:b/>
          <w:noProof/>
          <w:color w:val="632423" w:themeColor="accent2" w:themeShade="80"/>
          <w:sz w:val="28"/>
        </w:rPr>
        <w:drawing>
          <wp:anchor distT="0" distB="0" distL="114300" distR="114300" simplePos="0" relativeHeight="251658240" behindDoc="0" locked="0" layoutInCell="1" allowOverlap="1">
            <wp:simplePos x="0" y="0"/>
            <wp:positionH relativeFrom="column">
              <wp:posOffset>5172075</wp:posOffset>
            </wp:positionH>
            <wp:positionV relativeFrom="paragraph">
              <wp:posOffset>-485774</wp:posOffset>
            </wp:positionV>
            <wp:extent cx="819150" cy="741136"/>
            <wp:effectExtent l="19050" t="0" r="0" b="0"/>
            <wp:wrapNone/>
            <wp:docPr id="5" name="Picture 2" descr="AW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Logo.jpg"/>
                    <pic:cNvPicPr/>
                  </pic:nvPicPr>
                  <pic:blipFill>
                    <a:blip r:embed="rId6" cstate="print"/>
                    <a:stretch>
                      <a:fillRect/>
                    </a:stretch>
                  </pic:blipFill>
                  <pic:spPr>
                    <a:xfrm>
                      <a:off x="0" y="0"/>
                      <a:ext cx="819150" cy="741136"/>
                    </a:xfrm>
                    <a:prstGeom prst="rect">
                      <a:avLst/>
                    </a:prstGeom>
                  </pic:spPr>
                </pic:pic>
              </a:graphicData>
            </a:graphic>
          </wp:anchor>
        </w:drawing>
      </w:r>
      <w:r w:rsidR="001706CA" w:rsidRPr="00246562">
        <w:rPr>
          <w:rFonts w:ascii="Lucida Calligraphy" w:hAnsi="Lucida Calligraphy"/>
          <w:b/>
          <w:color w:val="632423" w:themeColor="accent2" w:themeShade="80"/>
          <w:sz w:val="28"/>
        </w:rPr>
        <w:t>King George Chapter of the American Wine Society</w:t>
      </w:r>
      <w:r w:rsidR="008A6652">
        <w:rPr>
          <w:b/>
          <w:sz w:val="28"/>
        </w:rPr>
        <w:t xml:space="preserve"> </w:t>
      </w:r>
      <w:r w:rsidR="008A6652">
        <w:rPr>
          <w:b/>
          <w:sz w:val="28"/>
        </w:rPr>
        <w:tab/>
      </w:r>
      <w:r w:rsidR="008A6652">
        <w:rPr>
          <w:b/>
          <w:sz w:val="28"/>
        </w:rPr>
        <w:tab/>
      </w:r>
    </w:p>
    <w:p w:rsidR="00246562" w:rsidRPr="001706CA" w:rsidRDefault="00246562" w:rsidP="008A3CB0">
      <w:pPr>
        <w:spacing w:after="0"/>
        <w:rPr>
          <w:b/>
          <w:sz w:val="28"/>
        </w:rPr>
      </w:pPr>
    </w:p>
    <w:p w:rsidR="001706CA" w:rsidRDefault="00495B31" w:rsidP="008A3CB0">
      <w:pPr>
        <w:spacing w:after="0"/>
      </w:pPr>
      <w:r>
        <w:rPr>
          <w:noProof/>
        </w:rPr>
        <w:drawing>
          <wp:inline distT="0" distB="0" distL="0" distR="0">
            <wp:extent cx="371475" cy="647700"/>
            <wp:effectExtent l="19050" t="0" r="9525" b="0"/>
            <wp:docPr id="2" name="Picture 2" descr="0038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384859"/>
                    <pic:cNvPicPr>
                      <a:picLocks noChangeAspect="1" noChangeArrowheads="1"/>
                    </pic:cNvPicPr>
                  </pic:nvPicPr>
                  <pic:blipFill>
                    <a:blip r:embed="rId7" cstate="print"/>
                    <a:srcRect/>
                    <a:stretch>
                      <a:fillRect/>
                    </a:stretch>
                  </pic:blipFill>
                  <pic:spPr bwMode="auto">
                    <a:xfrm>
                      <a:off x="0" y="0"/>
                      <a:ext cx="371475" cy="647700"/>
                    </a:xfrm>
                    <a:prstGeom prst="rect">
                      <a:avLst/>
                    </a:prstGeom>
                    <a:noFill/>
                    <a:ln w="9525">
                      <a:noFill/>
                      <a:miter lim="800000"/>
                      <a:headEnd/>
                      <a:tailEnd/>
                    </a:ln>
                  </pic:spPr>
                </pic:pic>
              </a:graphicData>
            </a:graphic>
          </wp:inline>
        </w:drawing>
      </w:r>
    </w:p>
    <w:p w:rsidR="001F00B0" w:rsidRPr="008A6652" w:rsidRDefault="00033EE5" w:rsidP="008A3CB0">
      <w:pPr>
        <w:spacing w:after="0"/>
        <w:rPr>
          <w:b/>
          <w:color w:val="632423"/>
        </w:rPr>
      </w:pPr>
      <w:r>
        <w:rPr>
          <w:b/>
          <w:color w:val="632423"/>
        </w:rPr>
        <w:t>July</w:t>
      </w:r>
      <w:r w:rsidR="008A3CB0" w:rsidRPr="008A6652">
        <w:rPr>
          <w:b/>
          <w:color w:val="632423"/>
        </w:rPr>
        <w:t>, 201</w:t>
      </w:r>
      <w:r w:rsidR="003C3EC3">
        <w:rPr>
          <w:b/>
          <w:color w:val="632423"/>
        </w:rPr>
        <w:t>2</w:t>
      </w:r>
    </w:p>
    <w:p w:rsidR="008A3CB0" w:rsidRDefault="008A3CB0" w:rsidP="008A3CB0">
      <w:pPr>
        <w:spacing w:after="0"/>
      </w:pPr>
    </w:p>
    <w:p w:rsidR="008A3CB0" w:rsidRPr="008A6652" w:rsidRDefault="008A3CB0" w:rsidP="008A3CB0">
      <w:pPr>
        <w:spacing w:after="0"/>
        <w:rPr>
          <w:b/>
          <w:color w:val="632423"/>
          <w:u w:val="single"/>
        </w:rPr>
      </w:pPr>
      <w:r w:rsidRPr="008A6652">
        <w:rPr>
          <w:b/>
          <w:color w:val="632423"/>
          <w:u w:val="single"/>
        </w:rPr>
        <w:t>General Discussion:</w:t>
      </w:r>
    </w:p>
    <w:p w:rsidR="001706CA" w:rsidRDefault="001706CA" w:rsidP="008A3CB0">
      <w:pPr>
        <w:spacing w:after="0"/>
      </w:pPr>
      <w:r>
        <w:t>Old News: None</w:t>
      </w:r>
    </w:p>
    <w:p w:rsidR="001706CA" w:rsidRDefault="001706CA" w:rsidP="008A3CB0">
      <w:pPr>
        <w:spacing w:after="0"/>
      </w:pPr>
      <w:r>
        <w:t>New news:</w:t>
      </w:r>
    </w:p>
    <w:p w:rsidR="00672AF3" w:rsidRDefault="00033EE5" w:rsidP="00033EE5">
      <w:pPr>
        <w:pStyle w:val="ListParagraph"/>
        <w:numPr>
          <w:ilvl w:val="0"/>
          <w:numId w:val="2"/>
        </w:numPr>
        <w:spacing w:after="0"/>
      </w:pPr>
      <w:r>
        <w:t xml:space="preserve">The subject of the By-Laws was brought to attention.  They have never been formally documented and ratified.  </w:t>
      </w:r>
    </w:p>
    <w:p w:rsidR="00033EE5" w:rsidRDefault="00033EE5" w:rsidP="00033EE5">
      <w:pPr>
        <w:pStyle w:val="ListParagraph"/>
        <w:numPr>
          <w:ilvl w:val="0"/>
          <w:numId w:val="2"/>
        </w:numPr>
        <w:spacing w:after="0"/>
      </w:pPr>
      <w:r>
        <w:t xml:space="preserve">President motioned to accept the most recent documentation of the By-Laws.  Motion was followed with a second from Mike Hyde and was accepted with a unanimous </w:t>
      </w:r>
      <w:proofErr w:type="spellStart"/>
      <w:r>
        <w:t>yay</w:t>
      </w:r>
      <w:proofErr w:type="spellEnd"/>
      <w:r>
        <w:t xml:space="preserve"> vote.</w:t>
      </w:r>
    </w:p>
    <w:p w:rsidR="00033EE5" w:rsidRDefault="00033EE5" w:rsidP="00033EE5">
      <w:pPr>
        <w:pStyle w:val="ListParagraph"/>
        <w:numPr>
          <w:ilvl w:val="0"/>
          <w:numId w:val="2"/>
        </w:numPr>
        <w:spacing w:after="0"/>
      </w:pPr>
      <w:r>
        <w:t>The By-laws state that there is typically no meeting in July or August.  It was concluded that if someone signs up for that month to present, then we will in fact hold a meeting.  This will be re-written in to the next iteration of the By-Laws</w:t>
      </w:r>
    </w:p>
    <w:p w:rsidR="00033EE5" w:rsidRDefault="00033EE5" w:rsidP="00033EE5">
      <w:pPr>
        <w:pStyle w:val="ListParagraph"/>
        <w:numPr>
          <w:ilvl w:val="0"/>
          <w:numId w:val="2"/>
        </w:numPr>
        <w:spacing w:after="0"/>
      </w:pPr>
      <w:r>
        <w:t>Paper products and who is responsible for them has been questioned.  This will be discussed in the next Board meeting and will be documented in the next iteration of the By-Laws.</w:t>
      </w:r>
    </w:p>
    <w:p w:rsidR="00033EE5" w:rsidRDefault="00033EE5" w:rsidP="00033EE5">
      <w:pPr>
        <w:pStyle w:val="ListParagraph"/>
        <w:numPr>
          <w:ilvl w:val="0"/>
          <w:numId w:val="2"/>
        </w:numPr>
        <w:spacing w:after="0"/>
      </w:pPr>
      <w:r>
        <w:t>Brad asked that anyone with suggestions/questions with regard to the By-laws should e-mail him.</w:t>
      </w:r>
    </w:p>
    <w:p w:rsidR="00033EE5" w:rsidRDefault="00033EE5" w:rsidP="00033EE5">
      <w:pPr>
        <w:spacing w:after="0"/>
      </w:pPr>
      <w:r>
        <w:t>Guests:</w:t>
      </w:r>
    </w:p>
    <w:p w:rsidR="00033EE5" w:rsidRDefault="00033EE5" w:rsidP="00033EE5">
      <w:pPr>
        <w:pStyle w:val="ListParagraph"/>
        <w:numPr>
          <w:ilvl w:val="0"/>
          <w:numId w:val="2"/>
        </w:numPr>
        <w:spacing w:after="0"/>
      </w:pPr>
      <w:r>
        <w:t xml:space="preserve">Two Guests; Jane Marvin and Carolyn </w:t>
      </w:r>
      <w:proofErr w:type="spellStart"/>
      <w:r>
        <w:t>Ulfer</w:t>
      </w:r>
      <w:proofErr w:type="spellEnd"/>
    </w:p>
    <w:p w:rsidR="00672AF3" w:rsidRDefault="00672AF3" w:rsidP="008A3CB0">
      <w:pPr>
        <w:spacing w:after="0"/>
      </w:pPr>
    </w:p>
    <w:p w:rsidR="008A3CB0" w:rsidRPr="008A6652" w:rsidRDefault="00C35057" w:rsidP="008A3CB0">
      <w:pPr>
        <w:spacing w:after="0"/>
        <w:rPr>
          <w:b/>
          <w:color w:val="632423"/>
          <w:u w:val="single"/>
        </w:rPr>
      </w:pPr>
      <w:r w:rsidRPr="008A6652">
        <w:rPr>
          <w:b/>
          <w:color w:val="632423"/>
          <w:u w:val="single"/>
        </w:rPr>
        <w:t>P</w:t>
      </w:r>
      <w:r w:rsidR="008A3CB0" w:rsidRPr="008A6652">
        <w:rPr>
          <w:b/>
          <w:color w:val="632423"/>
          <w:u w:val="single"/>
        </w:rPr>
        <w:t>resentation:</w:t>
      </w:r>
    </w:p>
    <w:p w:rsidR="008A3CB0" w:rsidRPr="0043545E" w:rsidRDefault="00033EE5" w:rsidP="008A3CB0">
      <w:pPr>
        <w:spacing w:after="0"/>
        <w:rPr>
          <w:u w:val="single"/>
        </w:rPr>
      </w:pPr>
      <w:proofErr w:type="spellStart"/>
      <w:r>
        <w:rPr>
          <w:i/>
          <w:u w:val="single"/>
        </w:rPr>
        <w:t>Malbec</w:t>
      </w:r>
      <w:proofErr w:type="spellEnd"/>
    </w:p>
    <w:p w:rsidR="00765CA4" w:rsidRDefault="00033EE5" w:rsidP="00CA5799">
      <w:pPr>
        <w:spacing w:after="0"/>
        <w:ind w:firstLine="720"/>
      </w:pPr>
      <w:r>
        <w:t xml:space="preserve">Kathy and Chris Strickland gave a presentation on </w:t>
      </w:r>
      <w:proofErr w:type="spellStart"/>
      <w:r>
        <w:t>Malbec’s</w:t>
      </w:r>
      <w:proofErr w:type="spellEnd"/>
      <w:r w:rsidR="00AA316D">
        <w:t>.</w:t>
      </w:r>
      <w:r>
        <w:t xml:space="preserve">  We were treated with a starter wine; the </w:t>
      </w:r>
      <w:proofErr w:type="spellStart"/>
      <w:r>
        <w:t>Pigmentum</w:t>
      </w:r>
      <w:proofErr w:type="spellEnd"/>
      <w:r>
        <w:t xml:space="preserve"> </w:t>
      </w:r>
      <w:proofErr w:type="spellStart"/>
      <w:r>
        <w:t>Malbec</w:t>
      </w:r>
      <w:proofErr w:type="spellEnd"/>
      <w:r>
        <w:t xml:space="preserve"> Rose, 2010.</w:t>
      </w:r>
    </w:p>
    <w:p w:rsidR="00AA316D" w:rsidRPr="00765CA4" w:rsidRDefault="00033EE5" w:rsidP="00CA5799">
      <w:pPr>
        <w:spacing w:after="0"/>
        <w:ind w:firstLine="720"/>
      </w:pPr>
      <w:r>
        <w:t>The presentation can be found on the web site under Tasting Notes</w:t>
      </w:r>
      <w:r w:rsidR="002420DE">
        <w:t>.</w:t>
      </w:r>
    </w:p>
    <w:p w:rsidR="002420DE" w:rsidRDefault="00CA5799" w:rsidP="002420DE">
      <w:pPr>
        <w:spacing w:after="0"/>
        <w:ind w:left="720" w:hanging="720"/>
      </w:pPr>
      <w:r>
        <w:tab/>
      </w:r>
      <w:r w:rsidR="002420DE">
        <w:t>Prices and favorite’s are below:</w:t>
      </w:r>
    </w:p>
    <w:p w:rsidR="004F1A67" w:rsidRDefault="004F1A67" w:rsidP="008A3CB0">
      <w:pPr>
        <w:spacing w:after="0"/>
      </w:pPr>
    </w:p>
    <w:p w:rsidR="00767F40" w:rsidRDefault="00767F40">
      <w:pPr>
        <w:spacing w:after="0" w:line="240" w:lineRule="auto"/>
      </w:pPr>
      <w:r>
        <w:br w:type="page"/>
      </w:r>
    </w:p>
    <w:p w:rsidR="0043545E" w:rsidRDefault="0043545E" w:rsidP="008A3CB0">
      <w:pPr>
        <w:spacing w:after="0"/>
      </w:pPr>
    </w:p>
    <w:p w:rsidR="00F07FDD" w:rsidRDefault="00F07FDD" w:rsidP="00136B34">
      <w:pPr>
        <w:spacing w:after="0"/>
        <w:jc w:val="center"/>
      </w:pPr>
    </w:p>
    <w:p w:rsidR="005635AB" w:rsidRDefault="005635AB" w:rsidP="001F00B0">
      <w:pPr>
        <w:spacing w:after="0"/>
        <w:rPr>
          <w:b/>
          <w:color w:val="632423"/>
          <w:u w:val="single"/>
        </w:rPr>
      </w:pPr>
      <w:r w:rsidRPr="008A6652">
        <w:rPr>
          <w:b/>
          <w:color w:val="632423"/>
          <w:u w:val="single"/>
        </w:rPr>
        <w:t>Favorites and prices of the presentation:</w:t>
      </w:r>
    </w:p>
    <w:p w:rsidR="00F07FDD" w:rsidRPr="008A6652" w:rsidRDefault="00F07FDD" w:rsidP="001F00B0">
      <w:pPr>
        <w:spacing w:after="0"/>
        <w:rPr>
          <w:b/>
          <w:color w:val="632423"/>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892"/>
        <w:gridCol w:w="968"/>
        <w:gridCol w:w="1158"/>
        <w:gridCol w:w="2016"/>
      </w:tblGrid>
      <w:tr w:rsidR="002420DE" w:rsidTr="003738F5">
        <w:trPr>
          <w:jc w:val="center"/>
        </w:trPr>
        <w:tc>
          <w:tcPr>
            <w:tcW w:w="699" w:type="dxa"/>
            <w:vAlign w:val="bottom"/>
          </w:tcPr>
          <w:p w:rsidR="002420DE" w:rsidRPr="00DA79A4" w:rsidRDefault="002420DE" w:rsidP="00F07FDD">
            <w:pPr>
              <w:spacing w:after="0"/>
              <w:jc w:val="center"/>
              <w:rPr>
                <w:b/>
              </w:rPr>
            </w:pPr>
            <w:r>
              <w:rPr>
                <w:b/>
              </w:rPr>
              <w:t>Wine</w:t>
            </w:r>
          </w:p>
        </w:tc>
        <w:tc>
          <w:tcPr>
            <w:tcW w:w="892" w:type="dxa"/>
            <w:vAlign w:val="bottom"/>
          </w:tcPr>
          <w:p w:rsidR="002420DE" w:rsidRPr="00DA79A4" w:rsidRDefault="002420DE" w:rsidP="00CB5B73">
            <w:pPr>
              <w:spacing w:after="0"/>
              <w:jc w:val="center"/>
              <w:rPr>
                <w:b/>
              </w:rPr>
            </w:pPr>
            <w:proofErr w:type="spellStart"/>
            <w:r>
              <w:rPr>
                <w:b/>
              </w:rPr>
              <w:t>Malbec</w:t>
            </w:r>
            <w:proofErr w:type="spellEnd"/>
            <w:r>
              <w:rPr>
                <w:b/>
              </w:rPr>
              <w:t xml:space="preserve"> </w:t>
            </w:r>
          </w:p>
        </w:tc>
        <w:tc>
          <w:tcPr>
            <w:tcW w:w="968" w:type="dxa"/>
          </w:tcPr>
          <w:p w:rsidR="002420DE" w:rsidRPr="00DA79A4" w:rsidRDefault="002420DE" w:rsidP="00F07FDD">
            <w:pPr>
              <w:spacing w:after="0"/>
              <w:jc w:val="center"/>
              <w:rPr>
                <w:b/>
              </w:rPr>
            </w:pPr>
            <w:r>
              <w:rPr>
                <w:b/>
              </w:rPr>
              <w:t>Favorite Overall</w:t>
            </w:r>
          </w:p>
        </w:tc>
        <w:tc>
          <w:tcPr>
            <w:tcW w:w="1158" w:type="dxa"/>
            <w:vAlign w:val="bottom"/>
          </w:tcPr>
          <w:p w:rsidR="002420DE" w:rsidRPr="00DA79A4" w:rsidRDefault="002420DE" w:rsidP="00F07FDD">
            <w:pPr>
              <w:spacing w:after="0"/>
              <w:jc w:val="center"/>
              <w:rPr>
                <w:b/>
              </w:rPr>
            </w:pPr>
            <w:r w:rsidRPr="00DA79A4">
              <w:rPr>
                <w:b/>
              </w:rPr>
              <w:t>Price</w:t>
            </w:r>
          </w:p>
        </w:tc>
        <w:tc>
          <w:tcPr>
            <w:tcW w:w="2016" w:type="dxa"/>
            <w:vAlign w:val="bottom"/>
          </w:tcPr>
          <w:p w:rsidR="002420DE" w:rsidRPr="00DA79A4" w:rsidRDefault="002420DE" w:rsidP="00F07FDD">
            <w:pPr>
              <w:spacing w:after="0"/>
              <w:jc w:val="center"/>
              <w:rPr>
                <w:b/>
              </w:rPr>
            </w:pPr>
            <w:r>
              <w:rPr>
                <w:b/>
              </w:rPr>
              <w:t>Purchased</w:t>
            </w:r>
          </w:p>
        </w:tc>
      </w:tr>
      <w:tr w:rsidR="003738F5" w:rsidTr="003738F5">
        <w:trPr>
          <w:jc w:val="center"/>
        </w:trPr>
        <w:tc>
          <w:tcPr>
            <w:tcW w:w="699" w:type="dxa"/>
          </w:tcPr>
          <w:p w:rsidR="003738F5" w:rsidRDefault="003738F5" w:rsidP="00F07FDD">
            <w:pPr>
              <w:spacing w:after="0"/>
            </w:pPr>
            <w:r>
              <w:t xml:space="preserve">#1 </w:t>
            </w:r>
          </w:p>
        </w:tc>
        <w:tc>
          <w:tcPr>
            <w:tcW w:w="892" w:type="dxa"/>
            <w:shd w:val="clear" w:color="auto" w:fill="auto"/>
          </w:tcPr>
          <w:p w:rsidR="003738F5" w:rsidRDefault="003738F5" w:rsidP="00DA79A4">
            <w:pPr>
              <w:spacing w:after="0"/>
            </w:pPr>
            <w:r>
              <w:t>12</w:t>
            </w:r>
          </w:p>
        </w:tc>
        <w:tc>
          <w:tcPr>
            <w:tcW w:w="968" w:type="dxa"/>
          </w:tcPr>
          <w:p w:rsidR="003738F5" w:rsidRDefault="003738F5" w:rsidP="00CB5B73">
            <w:pPr>
              <w:spacing w:after="0"/>
              <w:jc w:val="center"/>
            </w:pPr>
          </w:p>
        </w:tc>
        <w:tc>
          <w:tcPr>
            <w:tcW w:w="1158" w:type="dxa"/>
          </w:tcPr>
          <w:p w:rsidR="003738F5" w:rsidRDefault="003738F5" w:rsidP="002420DE">
            <w:pPr>
              <w:spacing w:after="0"/>
              <w:jc w:val="center"/>
            </w:pPr>
            <w:r>
              <w:t xml:space="preserve">$6.99 </w:t>
            </w:r>
          </w:p>
        </w:tc>
        <w:tc>
          <w:tcPr>
            <w:tcW w:w="2016" w:type="dxa"/>
            <w:vMerge w:val="restart"/>
            <w:vAlign w:val="center"/>
          </w:tcPr>
          <w:p w:rsidR="003738F5" w:rsidRDefault="003738F5" w:rsidP="003738F5">
            <w:pPr>
              <w:spacing w:after="0"/>
              <w:jc w:val="center"/>
            </w:pPr>
            <w:r>
              <w:t>Total Wine</w:t>
            </w:r>
          </w:p>
        </w:tc>
      </w:tr>
      <w:tr w:rsidR="003738F5" w:rsidTr="003738F5">
        <w:trPr>
          <w:jc w:val="center"/>
        </w:trPr>
        <w:tc>
          <w:tcPr>
            <w:tcW w:w="699" w:type="dxa"/>
            <w:shd w:val="clear" w:color="auto" w:fill="auto"/>
          </w:tcPr>
          <w:p w:rsidR="003738F5" w:rsidRDefault="003738F5" w:rsidP="00F07FDD">
            <w:pPr>
              <w:spacing w:after="0"/>
            </w:pPr>
            <w:r>
              <w:t xml:space="preserve">#2 </w:t>
            </w:r>
          </w:p>
        </w:tc>
        <w:tc>
          <w:tcPr>
            <w:tcW w:w="892" w:type="dxa"/>
            <w:shd w:val="clear" w:color="auto" w:fill="auto"/>
          </w:tcPr>
          <w:p w:rsidR="003738F5" w:rsidRDefault="003738F5" w:rsidP="00DA79A4">
            <w:pPr>
              <w:spacing w:after="0"/>
            </w:pPr>
            <w:r>
              <w:t>12</w:t>
            </w:r>
          </w:p>
        </w:tc>
        <w:tc>
          <w:tcPr>
            <w:tcW w:w="968" w:type="dxa"/>
            <w:shd w:val="clear" w:color="auto" w:fill="auto"/>
          </w:tcPr>
          <w:p w:rsidR="003738F5" w:rsidRDefault="003738F5" w:rsidP="006C5FA2">
            <w:pPr>
              <w:spacing w:after="0"/>
              <w:jc w:val="center"/>
            </w:pPr>
          </w:p>
        </w:tc>
        <w:tc>
          <w:tcPr>
            <w:tcW w:w="1158" w:type="dxa"/>
          </w:tcPr>
          <w:p w:rsidR="003738F5" w:rsidRDefault="003738F5" w:rsidP="00A102F6">
            <w:pPr>
              <w:spacing w:after="0"/>
              <w:jc w:val="center"/>
            </w:pPr>
            <w:r>
              <w:t>$7.47</w:t>
            </w:r>
          </w:p>
        </w:tc>
        <w:tc>
          <w:tcPr>
            <w:tcW w:w="2016" w:type="dxa"/>
            <w:vMerge/>
          </w:tcPr>
          <w:p w:rsidR="003738F5" w:rsidRDefault="003738F5" w:rsidP="006C5FA2">
            <w:pPr>
              <w:spacing w:after="0"/>
              <w:jc w:val="center"/>
            </w:pPr>
          </w:p>
        </w:tc>
      </w:tr>
      <w:tr w:rsidR="003738F5" w:rsidTr="003738F5">
        <w:trPr>
          <w:jc w:val="center"/>
        </w:trPr>
        <w:tc>
          <w:tcPr>
            <w:tcW w:w="699" w:type="dxa"/>
            <w:shd w:val="clear" w:color="auto" w:fill="auto"/>
          </w:tcPr>
          <w:p w:rsidR="003738F5" w:rsidRDefault="003738F5" w:rsidP="00DA79A4">
            <w:pPr>
              <w:spacing w:after="0"/>
            </w:pPr>
            <w:r>
              <w:t>#3</w:t>
            </w:r>
          </w:p>
        </w:tc>
        <w:tc>
          <w:tcPr>
            <w:tcW w:w="892" w:type="dxa"/>
            <w:shd w:val="clear" w:color="auto" w:fill="auto"/>
          </w:tcPr>
          <w:p w:rsidR="003738F5" w:rsidRDefault="003738F5" w:rsidP="00DA79A4">
            <w:pPr>
              <w:spacing w:after="0"/>
            </w:pPr>
            <w:r>
              <w:t>4</w:t>
            </w:r>
          </w:p>
        </w:tc>
        <w:tc>
          <w:tcPr>
            <w:tcW w:w="968" w:type="dxa"/>
          </w:tcPr>
          <w:p w:rsidR="003738F5" w:rsidRDefault="003738F5" w:rsidP="006C5FA2">
            <w:pPr>
              <w:spacing w:after="0"/>
              <w:jc w:val="center"/>
            </w:pPr>
          </w:p>
        </w:tc>
        <w:tc>
          <w:tcPr>
            <w:tcW w:w="1158" w:type="dxa"/>
          </w:tcPr>
          <w:p w:rsidR="003738F5" w:rsidRDefault="003738F5" w:rsidP="006C5FA2">
            <w:pPr>
              <w:spacing w:after="0"/>
              <w:jc w:val="center"/>
            </w:pPr>
            <w:r>
              <w:t>$11.99</w:t>
            </w:r>
          </w:p>
        </w:tc>
        <w:tc>
          <w:tcPr>
            <w:tcW w:w="2016" w:type="dxa"/>
            <w:vMerge/>
          </w:tcPr>
          <w:p w:rsidR="003738F5" w:rsidRDefault="003738F5" w:rsidP="00DA79A4">
            <w:pPr>
              <w:spacing w:after="0"/>
              <w:jc w:val="center"/>
            </w:pPr>
          </w:p>
        </w:tc>
      </w:tr>
      <w:tr w:rsidR="003738F5" w:rsidTr="003738F5">
        <w:trPr>
          <w:jc w:val="center"/>
        </w:trPr>
        <w:tc>
          <w:tcPr>
            <w:tcW w:w="699" w:type="dxa"/>
            <w:shd w:val="clear" w:color="auto" w:fill="auto"/>
          </w:tcPr>
          <w:p w:rsidR="003738F5" w:rsidRDefault="003738F5" w:rsidP="00DA79A4">
            <w:pPr>
              <w:spacing w:after="0"/>
            </w:pPr>
            <w:r>
              <w:t>#4</w:t>
            </w:r>
          </w:p>
        </w:tc>
        <w:tc>
          <w:tcPr>
            <w:tcW w:w="892" w:type="dxa"/>
            <w:shd w:val="clear" w:color="auto" w:fill="auto"/>
          </w:tcPr>
          <w:p w:rsidR="003738F5" w:rsidRDefault="003738F5" w:rsidP="00DA79A4">
            <w:pPr>
              <w:spacing w:after="0"/>
            </w:pPr>
            <w:r>
              <w:t>2</w:t>
            </w:r>
          </w:p>
        </w:tc>
        <w:tc>
          <w:tcPr>
            <w:tcW w:w="968" w:type="dxa"/>
          </w:tcPr>
          <w:p w:rsidR="003738F5" w:rsidRDefault="003738F5" w:rsidP="006C5FA2">
            <w:pPr>
              <w:spacing w:after="0"/>
              <w:jc w:val="center"/>
            </w:pPr>
          </w:p>
        </w:tc>
        <w:tc>
          <w:tcPr>
            <w:tcW w:w="1158" w:type="dxa"/>
          </w:tcPr>
          <w:p w:rsidR="003738F5" w:rsidRDefault="003738F5" w:rsidP="006C5FA2">
            <w:pPr>
              <w:spacing w:after="0"/>
              <w:jc w:val="center"/>
            </w:pPr>
            <w:r>
              <w:t>$7.99</w:t>
            </w:r>
          </w:p>
        </w:tc>
        <w:tc>
          <w:tcPr>
            <w:tcW w:w="2016" w:type="dxa"/>
            <w:vMerge/>
          </w:tcPr>
          <w:p w:rsidR="003738F5" w:rsidRDefault="003738F5" w:rsidP="00DA79A4">
            <w:pPr>
              <w:spacing w:after="0"/>
              <w:jc w:val="center"/>
            </w:pPr>
          </w:p>
        </w:tc>
      </w:tr>
      <w:tr w:rsidR="003738F5" w:rsidTr="003738F5">
        <w:trPr>
          <w:jc w:val="center"/>
        </w:trPr>
        <w:tc>
          <w:tcPr>
            <w:tcW w:w="699" w:type="dxa"/>
            <w:tcBorders>
              <w:bottom w:val="single" w:sz="4" w:space="0" w:color="auto"/>
            </w:tcBorders>
            <w:shd w:val="clear" w:color="auto" w:fill="auto"/>
          </w:tcPr>
          <w:p w:rsidR="003738F5" w:rsidRDefault="003738F5" w:rsidP="00DA79A4">
            <w:pPr>
              <w:spacing w:after="0"/>
            </w:pPr>
            <w:r>
              <w:t>#5</w:t>
            </w:r>
          </w:p>
        </w:tc>
        <w:tc>
          <w:tcPr>
            <w:tcW w:w="892" w:type="dxa"/>
            <w:tcBorders>
              <w:bottom w:val="single" w:sz="4" w:space="0" w:color="auto"/>
            </w:tcBorders>
            <w:shd w:val="clear" w:color="auto" w:fill="auto"/>
          </w:tcPr>
          <w:p w:rsidR="003738F5" w:rsidRDefault="003738F5" w:rsidP="00DA79A4">
            <w:pPr>
              <w:spacing w:after="0"/>
            </w:pPr>
            <w:r>
              <w:t>9</w:t>
            </w:r>
          </w:p>
        </w:tc>
        <w:tc>
          <w:tcPr>
            <w:tcW w:w="968" w:type="dxa"/>
            <w:tcBorders>
              <w:bottom w:val="single" w:sz="4" w:space="0" w:color="auto"/>
            </w:tcBorders>
          </w:tcPr>
          <w:p w:rsidR="003738F5" w:rsidRDefault="003738F5" w:rsidP="000255AD">
            <w:pPr>
              <w:spacing w:after="0"/>
              <w:jc w:val="center"/>
            </w:pPr>
          </w:p>
        </w:tc>
        <w:tc>
          <w:tcPr>
            <w:tcW w:w="1158" w:type="dxa"/>
            <w:tcBorders>
              <w:bottom w:val="single" w:sz="4" w:space="0" w:color="auto"/>
            </w:tcBorders>
          </w:tcPr>
          <w:p w:rsidR="003738F5" w:rsidRDefault="003738F5" w:rsidP="000255AD">
            <w:pPr>
              <w:spacing w:after="0"/>
              <w:jc w:val="center"/>
            </w:pPr>
            <w:r>
              <w:t>$6.99</w:t>
            </w:r>
          </w:p>
        </w:tc>
        <w:tc>
          <w:tcPr>
            <w:tcW w:w="2016" w:type="dxa"/>
            <w:vMerge/>
          </w:tcPr>
          <w:p w:rsidR="003738F5" w:rsidRDefault="003738F5" w:rsidP="000255AD">
            <w:pPr>
              <w:spacing w:after="0"/>
              <w:jc w:val="center"/>
            </w:pPr>
          </w:p>
        </w:tc>
      </w:tr>
      <w:tr w:rsidR="003738F5" w:rsidTr="003738F5">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Pr>
          <w:p w:rsidR="003738F5" w:rsidRDefault="003738F5" w:rsidP="00DA79A4">
            <w:pPr>
              <w:spacing w:after="0"/>
            </w:pPr>
            <w:r>
              <w:t>#6</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3738F5" w:rsidRDefault="003738F5" w:rsidP="00DA79A4">
            <w:pPr>
              <w:spacing w:after="0"/>
            </w:pPr>
            <w:r>
              <w:t>17</w:t>
            </w:r>
          </w:p>
        </w:tc>
        <w:tc>
          <w:tcPr>
            <w:tcW w:w="968" w:type="dxa"/>
            <w:tcBorders>
              <w:top w:val="single" w:sz="4" w:space="0" w:color="auto"/>
              <w:left w:val="single" w:sz="4" w:space="0" w:color="auto"/>
              <w:bottom w:val="single" w:sz="4" w:space="0" w:color="auto"/>
              <w:right w:val="single" w:sz="4" w:space="0" w:color="auto"/>
            </w:tcBorders>
            <w:shd w:val="clear" w:color="auto" w:fill="FFFF00"/>
          </w:tcPr>
          <w:p w:rsidR="003738F5" w:rsidRDefault="003738F5" w:rsidP="00DA79A4">
            <w:pPr>
              <w:spacing w:after="0"/>
              <w:jc w:val="center"/>
            </w:pPr>
            <w:r>
              <w:t>17</w:t>
            </w:r>
          </w:p>
        </w:tc>
        <w:tc>
          <w:tcPr>
            <w:tcW w:w="1158" w:type="dxa"/>
            <w:tcBorders>
              <w:top w:val="single" w:sz="4" w:space="0" w:color="auto"/>
              <w:left w:val="single" w:sz="4" w:space="0" w:color="auto"/>
              <w:bottom w:val="single" w:sz="4" w:space="0" w:color="auto"/>
            </w:tcBorders>
            <w:shd w:val="clear" w:color="auto" w:fill="auto"/>
          </w:tcPr>
          <w:p w:rsidR="003738F5" w:rsidRDefault="003738F5" w:rsidP="00DA79A4">
            <w:pPr>
              <w:spacing w:after="0"/>
              <w:jc w:val="center"/>
            </w:pPr>
            <w:r>
              <w:t>$12.99</w:t>
            </w:r>
          </w:p>
        </w:tc>
        <w:tc>
          <w:tcPr>
            <w:tcW w:w="2016" w:type="dxa"/>
            <w:vMerge/>
            <w:shd w:val="clear" w:color="auto" w:fill="auto"/>
          </w:tcPr>
          <w:p w:rsidR="003738F5" w:rsidRDefault="003738F5" w:rsidP="00DA79A4">
            <w:pPr>
              <w:spacing w:after="0"/>
              <w:jc w:val="center"/>
            </w:pPr>
          </w:p>
        </w:tc>
      </w:tr>
      <w:tr w:rsidR="003738F5" w:rsidTr="003738F5">
        <w:trPr>
          <w:jc w:val="center"/>
        </w:trPr>
        <w:tc>
          <w:tcPr>
            <w:tcW w:w="699" w:type="dxa"/>
            <w:tcBorders>
              <w:top w:val="single" w:sz="4" w:space="0" w:color="auto"/>
              <w:left w:val="single" w:sz="4" w:space="0" w:color="auto"/>
              <w:bottom w:val="single" w:sz="4" w:space="0" w:color="auto"/>
              <w:right w:val="single" w:sz="4" w:space="0" w:color="auto"/>
            </w:tcBorders>
            <w:shd w:val="clear" w:color="auto" w:fill="auto"/>
          </w:tcPr>
          <w:p w:rsidR="003738F5" w:rsidRDefault="003738F5" w:rsidP="00DA79A4">
            <w:pPr>
              <w:spacing w:after="0"/>
            </w:pPr>
            <w:r>
              <w:t>Rosé</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3738F5" w:rsidRDefault="003738F5" w:rsidP="00DA79A4">
            <w:pPr>
              <w:spacing w:after="0"/>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3738F5" w:rsidRDefault="003738F5" w:rsidP="00DA79A4">
            <w:pPr>
              <w:spacing w:after="0"/>
              <w:jc w:val="center"/>
            </w:pPr>
            <w:r>
              <w:t>6</w:t>
            </w:r>
          </w:p>
        </w:tc>
        <w:tc>
          <w:tcPr>
            <w:tcW w:w="1158" w:type="dxa"/>
            <w:tcBorders>
              <w:top w:val="single" w:sz="4" w:space="0" w:color="auto"/>
              <w:left w:val="single" w:sz="4" w:space="0" w:color="auto"/>
              <w:bottom w:val="single" w:sz="4" w:space="0" w:color="auto"/>
            </w:tcBorders>
            <w:shd w:val="clear" w:color="auto" w:fill="auto"/>
          </w:tcPr>
          <w:p w:rsidR="003738F5" w:rsidRDefault="003738F5" w:rsidP="00DA79A4">
            <w:pPr>
              <w:spacing w:after="0"/>
              <w:jc w:val="center"/>
            </w:pPr>
            <w:r>
              <w:t>$9.99</w:t>
            </w:r>
          </w:p>
        </w:tc>
        <w:tc>
          <w:tcPr>
            <w:tcW w:w="2016" w:type="dxa"/>
            <w:vMerge/>
            <w:tcBorders>
              <w:bottom w:val="single" w:sz="4" w:space="0" w:color="auto"/>
            </w:tcBorders>
            <w:shd w:val="clear" w:color="auto" w:fill="auto"/>
          </w:tcPr>
          <w:p w:rsidR="003738F5" w:rsidRDefault="003738F5" w:rsidP="00DA79A4">
            <w:pPr>
              <w:spacing w:after="0"/>
              <w:jc w:val="center"/>
            </w:pPr>
          </w:p>
        </w:tc>
      </w:tr>
    </w:tbl>
    <w:p w:rsidR="008A6652" w:rsidRDefault="008A6652" w:rsidP="00F07FDD">
      <w:pPr>
        <w:spacing w:after="0"/>
        <w:jc w:val="center"/>
      </w:pPr>
    </w:p>
    <w:sectPr w:rsidR="008A6652" w:rsidSect="000835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30.25pt;height:271.5pt" o:bullet="t">
        <v:imagedata r:id="rId1" o:title="grapes"/>
      </v:shape>
    </w:pict>
  </w:numPicBullet>
  <w:abstractNum w:abstractNumId="0">
    <w:nsid w:val="010D71ED"/>
    <w:multiLevelType w:val="hybridMultilevel"/>
    <w:tmpl w:val="E5D81C5A"/>
    <w:lvl w:ilvl="0" w:tplc="75ACB6D6">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57097A"/>
    <w:multiLevelType w:val="hybridMultilevel"/>
    <w:tmpl w:val="917EF170"/>
    <w:lvl w:ilvl="0" w:tplc="75ACB6D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1E7FF1"/>
    <w:multiLevelType w:val="hybridMultilevel"/>
    <w:tmpl w:val="3A7AB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9D0A8D"/>
    <w:multiLevelType w:val="hybridMultilevel"/>
    <w:tmpl w:val="DE3C6696"/>
    <w:lvl w:ilvl="0" w:tplc="75ACB6D6">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164F2F"/>
    <w:multiLevelType w:val="hybridMultilevel"/>
    <w:tmpl w:val="FB24500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nsid w:val="25392BB1"/>
    <w:multiLevelType w:val="hybridMultilevel"/>
    <w:tmpl w:val="D3865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8746A6"/>
    <w:multiLevelType w:val="hybridMultilevel"/>
    <w:tmpl w:val="3984CD6C"/>
    <w:lvl w:ilvl="0" w:tplc="75ACB6D6">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E8D2957"/>
    <w:multiLevelType w:val="hybridMultilevel"/>
    <w:tmpl w:val="E28A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3CB0"/>
    <w:rsid w:val="00002C81"/>
    <w:rsid w:val="0001769E"/>
    <w:rsid w:val="000255AD"/>
    <w:rsid w:val="00027418"/>
    <w:rsid w:val="00033EE5"/>
    <w:rsid w:val="00053C0E"/>
    <w:rsid w:val="00083570"/>
    <w:rsid w:val="000A2AE7"/>
    <w:rsid w:val="000D0E15"/>
    <w:rsid w:val="000F3BF7"/>
    <w:rsid w:val="00117EE9"/>
    <w:rsid w:val="00123F51"/>
    <w:rsid w:val="00136B34"/>
    <w:rsid w:val="00162317"/>
    <w:rsid w:val="001706CA"/>
    <w:rsid w:val="00174EDB"/>
    <w:rsid w:val="001B1D45"/>
    <w:rsid w:val="001E25AC"/>
    <w:rsid w:val="001F00B0"/>
    <w:rsid w:val="001F7952"/>
    <w:rsid w:val="002229D2"/>
    <w:rsid w:val="002420DE"/>
    <w:rsid w:val="00246562"/>
    <w:rsid w:val="00253E32"/>
    <w:rsid w:val="00295479"/>
    <w:rsid w:val="00310E22"/>
    <w:rsid w:val="00335D46"/>
    <w:rsid w:val="0035402D"/>
    <w:rsid w:val="003738F5"/>
    <w:rsid w:val="00381DAF"/>
    <w:rsid w:val="003C3EC3"/>
    <w:rsid w:val="003D75AF"/>
    <w:rsid w:val="00426E40"/>
    <w:rsid w:val="0043545E"/>
    <w:rsid w:val="00443CE0"/>
    <w:rsid w:val="0045201E"/>
    <w:rsid w:val="00480A85"/>
    <w:rsid w:val="00495B31"/>
    <w:rsid w:val="004C2567"/>
    <w:rsid w:val="004E08D8"/>
    <w:rsid w:val="004E6C3A"/>
    <w:rsid w:val="004F0D37"/>
    <w:rsid w:val="004F1A67"/>
    <w:rsid w:val="005016D5"/>
    <w:rsid w:val="00535E1A"/>
    <w:rsid w:val="005629B3"/>
    <w:rsid w:val="005635AB"/>
    <w:rsid w:val="00586059"/>
    <w:rsid w:val="005A7A46"/>
    <w:rsid w:val="005E31DF"/>
    <w:rsid w:val="005E3B20"/>
    <w:rsid w:val="00611495"/>
    <w:rsid w:val="0062316E"/>
    <w:rsid w:val="00625384"/>
    <w:rsid w:val="00627F2F"/>
    <w:rsid w:val="0065366D"/>
    <w:rsid w:val="00672AF3"/>
    <w:rsid w:val="006B07A2"/>
    <w:rsid w:val="006B09CF"/>
    <w:rsid w:val="006C5FA2"/>
    <w:rsid w:val="0073002D"/>
    <w:rsid w:val="00746970"/>
    <w:rsid w:val="00765CA4"/>
    <w:rsid w:val="007667A8"/>
    <w:rsid w:val="00767F40"/>
    <w:rsid w:val="007B71C1"/>
    <w:rsid w:val="007E0EC9"/>
    <w:rsid w:val="007E24D4"/>
    <w:rsid w:val="007E4A6C"/>
    <w:rsid w:val="00830CF7"/>
    <w:rsid w:val="00845618"/>
    <w:rsid w:val="008A3CB0"/>
    <w:rsid w:val="008A6652"/>
    <w:rsid w:val="008F25C9"/>
    <w:rsid w:val="00965551"/>
    <w:rsid w:val="00980173"/>
    <w:rsid w:val="009D14DF"/>
    <w:rsid w:val="00A012D4"/>
    <w:rsid w:val="00A102F6"/>
    <w:rsid w:val="00A14879"/>
    <w:rsid w:val="00A31768"/>
    <w:rsid w:val="00A51A8F"/>
    <w:rsid w:val="00A94AD2"/>
    <w:rsid w:val="00AA316D"/>
    <w:rsid w:val="00B30F1F"/>
    <w:rsid w:val="00B77F55"/>
    <w:rsid w:val="00BE40A3"/>
    <w:rsid w:val="00C16FCF"/>
    <w:rsid w:val="00C35057"/>
    <w:rsid w:val="00C352B5"/>
    <w:rsid w:val="00CA5799"/>
    <w:rsid w:val="00CB5B73"/>
    <w:rsid w:val="00CB6859"/>
    <w:rsid w:val="00CC69DA"/>
    <w:rsid w:val="00CF03A4"/>
    <w:rsid w:val="00D418FD"/>
    <w:rsid w:val="00D44553"/>
    <w:rsid w:val="00D90FF6"/>
    <w:rsid w:val="00DA79A4"/>
    <w:rsid w:val="00DD4810"/>
    <w:rsid w:val="00E34FA9"/>
    <w:rsid w:val="00E90B92"/>
    <w:rsid w:val="00EA0B29"/>
    <w:rsid w:val="00EA6B14"/>
    <w:rsid w:val="00EB7A6D"/>
    <w:rsid w:val="00F07FDD"/>
    <w:rsid w:val="00F364BB"/>
    <w:rsid w:val="00F836C7"/>
    <w:rsid w:val="00FE4859"/>
    <w:rsid w:val="00FE6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495"/>
    <w:pPr>
      <w:ind w:left="720"/>
      <w:contextualSpacing/>
    </w:pPr>
  </w:style>
  <w:style w:type="table" w:styleId="TableGrid">
    <w:name w:val="Table Grid"/>
    <w:basedOn w:val="TableNormal"/>
    <w:uiPriority w:val="59"/>
    <w:rsid w:val="00563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9CF"/>
    <w:rPr>
      <w:rFonts w:ascii="Tahoma" w:hAnsi="Tahoma" w:cs="Tahoma"/>
      <w:sz w:val="16"/>
      <w:szCs w:val="16"/>
    </w:rPr>
  </w:style>
  <w:style w:type="character" w:styleId="Hyperlink">
    <w:name w:val="Hyperlink"/>
    <w:basedOn w:val="DefaultParagraphFont"/>
    <w:uiPriority w:val="99"/>
    <w:unhideWhenUsed/>
    <w:rsid w:val="000274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FDCDA67-8146-4BBC-BAFE-8B585E8D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terri.newman-hyde</dc:creator>
  <cp:keywords/>
  <dc:description/>
  <cp:lastModifiedBy>terri.newman-hyde</cp:lastModifiedBy>
  <cp:revision>2</cp:revision>
  <dcterms:created xsi:type="dcterms:W3CDTF">2012-08-02T20:28:00Z</dcterms:created>
  <dcterms:modified xsi:type="dcterms:W3CDTF">2012-08-02T20:28:00Z</dcterms:modified>
</cp:coreProperties>
</file>